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03502B6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BB5B73">
        <w:rPr>
          <w:noProof w:val="0"/>
          <w:sz w:val="24"/>
          <w:szCs w:val="24"/>
        </w:rPr>
        <w:t>4</w:t>
      </w:r>
      <w:r w:rsidR="009C738A">
        <w:rPr>
          <w:noProof w:val="0"/>
          <w:sz w:val="24"/>
          <w:szCs w:val="24"/>
        </w:rPr>
        <w:t>bis</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9C738A">
        <w:rPr>
          <w:bCs/>
          <w:noProof w:val="0"/>
          <w:sz w:val="24"/>
          <w:szCs w:val="24"/>
        </w:rPr>
        <w:t>2</w:t>
      </w:r>
      <w:r w:rsidR="00F9634C">
        <w:rPr>
          <w:bCs/>
          <w:noProof w:val="0"/>
          <w:sz w:val="24"/>
          <w:szCs w:val="24"/>
        </w:rPr>
        <w:t>0329</w:t>
      </w:r>
    </w:p>
    <w:p w14:paraId="1822B173" w14:textId="3AF55421"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9C738A" w:rsidRPr="006F7AE5">
        <w:rPr>
          <w:rFonts w:cs="Arial"/>
          <w:sz w:val="24"/>
          <w:szCs w:val="24"/>
          <w:lang w:val="en-US"/>
        </w:rPr>
        <w:t>1</w:t>
      </w:r>
      <w:r w:rsidR="009C738A">
        <w:rPr>
          <w:rFonts w:cs="Arial"/>
          <w:sz w:val="24"/>
          <w:szCs w:val="24"/>
          <w:lang w:val="en-US"/>
        </w:rPr>
        <w:t>7</w:t>
      </w:r>
      <w:r w:rsidR="009C738A" w:rsidRPr="006F7AE5">
        <w:rPr>
          <w:rFonts w:cs="Arial"/>
          <w:sz w:val="24"/>
          <w:szCs w:val="24"/>
          <w:lang w:val="en-US"/>
        </w:rPr>
        <w:t xml:space="preserve"> – </w:t>
      </w:r>
      <w:r w:rsidR="009C738A">
        <w:rPr>
          <w:rFonts w:cs="Arial"/>
          <w:sz w:val="24"/>
          <w:szCs w:val="24"/>
          <w:lang w:val="en-US"/>
        </w:rPr>
        <w:t>26</w:t>
      </w:r>
      <w:r w:rsidR="009C738A" w:rsidRPr="006F7AE5">
        <w:rPr>
          <w:rFonts w:cs="Arial"/>
          <w:sz w:val="24"/>
          <w:szCs w:val="24"/>
          <w:lang w:val="en-US"/>
        </w:rPr>
        <w:t xml:space="preserve"> </w:t>
      </w:r>
      <w:r w:rsidR="009C738A">
        <w:rPr>
          <w:rFonts w:cs="Arial"/>
          <w:sz w:val="24"/>
          <w:szCs w:val="24"/>
          <w:lang w:val="en-US"/>
        </w:rPr>
        <w:t>January</w:t>
      </w:r>
      <w:r w:rsidR="009C738A" w:rsidRPr="000804F0">
        <w:rPr>
          <w:rFonts w:cs="Arial"/>
          <w:sz w:val="24"/>
          <w:szCs w:val="24"/>
          <w:lang w:val="en-US"/>
        </w:rPr>
        <w:t>, 202</w:t>
      </w:r>
      <w:r w:rsidR="009C738A">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EA9A978"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65409">
        <w:rPr>
          <w:rFonts w:cs="Arial"/>
          <w:b/>
          <w:bCs/>
          <w:sz w:val="24"/>
          <w:lang w:val="en-US" w:eastAsia="ja-JP"/>
        </w:rPr>
        <w:t>15.2.1.2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5A4151D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A5A7F">
        <w:rPr>
          <w:rFonts w:ascii="Arial" w:hAnsi="Arial" w:cs="Arial"/>
          <w:b/>
          <w:bCs/>
          <w:sz w:val="24"/>
        </w:rPr>
        <w:t xml:space="preserve">Clarifications </w:t>
      </w:r>
      <w:r w:rsidR="00E96BC3">
        <w:rPr>
          <w:rFonts w:ascii="Arial" w:hAnsi="Arial" w:cs="Arial"/>
          <w:b/>
          <w:bCs/>
          <w:sz w:val="24"/>
        </w:rPr>
        <w:t>on configuration aspects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4EA72B5A" w:rsidR="00CD4C7B" w:rsidRPr="00E76E2D" w:rsidRDefault="000A5A7F" w:rsidP="00E76E2D">
      <w:pPr>
        <w:pStyle w:val="00BodyText"/>
        <w:spacing w:after="0"/>
        <w:rPr>
          <w:rFonts w:ascii="Times New Roman" w:hAnsi="Times New Roman"/>
          <w:sz w:val="20"/>
          <w:lang w:val="en-GB"/>
        </w:rPr>
      </w:pPr>
      <w:r>
        <w:rPr>
          <w:rFonts w:ascii="Times New Roman" w:hAnsi="Times New Roman"/>
          <w:sz w:val="20"/>
          <w:lang w:val="en-GB"/>
        </w:rPr>
        <w:t>In this paper we suggest some c</w:t>
      </w:r>
      <w:r w:rsidRPr="000A5A7F">
        <w:rPr>
          <w:rFonts w:ascii="Times New Roman" w:hAnsi="Times New Roman"/>
          <w:sz w:val="20"/>
          <w:lang w:val="en-GB"/>
        </w:rPr>
        <w:t>larifications on configuration aspects</w:t>
      </w:r>
      <w:r w:rsidR="00B33FF8">
        <w:rPr>
          <w:rFonts w:ascii="Times New Roman" w:hAnsi="Times New Roman"/>
          <w:sz w:val="20"/>
          <w:lang w:val="en-GB"/>
        </w:rPr>
        <w:t xml:space="preserve">. </w:t>
      </w:r>
    </w:p>
    <w:p w14:paraId="479DA40B" w14:textId="77777777" w:rsidR="00CD4C7B" w:rsidRPr="006E13D1" w:rsidRDefault="00CD4C7B" w:rsidP="00CD4C7B">
      <w:pPr>
        <w:pStyle w:val="Heading1"/>
      </w:pPr>
      <w:r w:rsidRPr="006E13D1">
        <w:t>2</w:t>
      </w:r>
      <w:r w:rsidRPr="006E13D1">
        <w:tab/>
      </w:r>
      <w:r w:rsidR="00972FD7">
        <w:t>Discussion</w:t>
      </w:r>
    </w:p>
    <w:p w14:paraId="1E6D9AC9" w14:textId="4AB0090B" w:rsidR="000A5A7F" w:rsidRDefault="000A5A7F" w:rsidP="000A5A7F">
      <w:pPr>
        <w:pStyle w:val="Heading2"/>
      </w:pPr>
      <w:r>
        <w:t>2.1</w:t>
      </w:r>
      <w:r>
        <w:tab/>
        <w:t>QoE reference</w:t>
      </w:r>
      <w:r w:rsidR="00894D57">
        <w:t xml:space="preserve"> definition in stage 3</w:t>
      </w:r>
    </w:p>
    <w:p w14:paraId="244D4099" w14:textId="3A9D9AD0" w:rsidR="000A5A7F" w:rsidRDefault="000A5A7F" w:rsidP="00E96BC3">
      <w:r>
        <w:t>Following earlier input from SA5, it will be sufficient to use the QoE reference for globally unique identification of the QMC job. The QoE reference is defined as follows (TS 28.405):</w:t>
      </w:r>
    </w:p>
    <w:p w14:paraId="15CBD180" w14:textId="77777777" w:rsidR="000A5A7F" w:rsidRPr="00EC338D" w:rsidRDefault="000A5A7F" w:rsidP="00EC338D">
      <w:pPr>
        <w:ind w:left="284"/>
        <w:rPr>
          <w:i/>
          <w:iCs/>
          <w:sz w:val="18"/>
          <w:szCs w:val="18"/>
        </w:rPr>
      </w:pPr>
      <w:r w:rsidRPr="00EC338D">
        <w:rPr>
          <w:i/>
          <w:iCs/>
          <w:sz w:val="18"/>
          <w:szCs w:val="18"/>
        </w:rPr>
        <w:t xml:space="preserve">MCC+MNC+QMC ID, where the </w:t>
      </w:r>
      <w:r w:rsidRPr="00EC338D">
        <w:rPr>
          <w:rStyle w:val="msoins0"/>
          <w:i/>
          <w:iCs/>
          <w:color w:val="000000"/>
          <w:sz w:val="18"/>
          <w:szCs w:val="18"/>
        </w:rPr>
        <w:t>MCC and MNC are coming with the trace activation request from the management system to identify one PLMN containing the management system, and</w:t>
      </w:r>
      <w:r w:rsidRPr="00EC338D">
        <w:rPr>
          <w:i/>
          <w:iCs/>
          <w:sz w:val="18"/>
          <w:szCs w:val="18"/>
        </w:rPr>
        <w:t xml:space="preserve"> QMC ID is a 3 byte Octet String.</w:t>
      </w:r>
    </w:p>
    <w:p w14:paraId="0CB929DC" w14:textId="2FC1A20D" w:rsidR="000A5A7F" w:rsidRDefault="00EC338D" w:rsidP="00E96BC3">
      <w:r>
        <w:t>It was also clarified that the QoE reference will be used both for activation and deactivation procedures, and it will therefore appear in multiple occurrences in the stage 3 (in particular TS 38.413). Also, because encoding of this field may be subject to different interpretations, we propose to separate out the definition of the QoE reference into a separate IE, e.g. as follows:</w:t>
      </w:r>
    </w:p>
    <w:p w14:paraId="3DFF6347" w14:textId="6FA80A58" w:rsidR="00894D57" w:rsidRPr="001D2E49" w:rsidRDefault="00894D57" w:rsidP="00894D57">
      <w:pPr>
        <w:pStyle w:val="Heading4"/>
      </w:pPr>
      <w:bookmarkStart w:id="2" w:name="_Toc20955304"/>
      <w:bookmarkStart w:id="3" w:name="_Toc29503755"/>
      <w:bookmarkStart w:id="4" w:name="_Toc29504339"/>
      <w:bookmarkStart w:id="5" w:name="_Toc29504923"/>
      <w:bookmarkStart w:id="6" w:name="_Toc36553375"/>
      <w:bookmarkStart w:id="7" w:name="_Toc36555102"/>
      <w:bookmarkStart w:id="8" w:name="_Toc45652481"/>
      <w:bookmarkStart w:id="9" w:name="_Toc45658913"/>
      <w:bookmarkStart w:id="10" w:name="_Toc45720733"/>
      <w:bookmarkStart w:id="11" w:name="_Toc45798611"/>
      <w:bookmarkStart w:id="12" w:name="_Toc45898000"/>
      <w:bookmarkStart w:id="13" w:name="_Toc51746205"/>
      <w:bookmarkStart w:id="14" w:name="_Toc64446469"/>
      <w:bookmarkStart w:id="15" w:name="_Toc73982339"/>
      <w:bookmarkStart w:id="16" w:name="_Toc81304924"/>
      <w:r w:rsidRPr="001D2E49">
        <w:t>9.3.3.</w:t>
      </w:r>
      <w:r>
        <w:t>x</w:t>
      </w:r>
      <w:r w:rsidRPr="001D2E49">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894D57">
        <w:t>QoE Reference</w:t>
      </w:r>
    </w:p>
    <w:p w14:paraId="18A79446" w14:textId="41117783" w:rsidR="00EC338D" w:rsidRPr="001D2E49" w:rsidRDefault="00EC338D" w:rsidP="00EC338D">
      <w:pPr>
        <w:rPr>
          <w:rFonts w:eastAsia="SimSun"/>
          <w:lang w:eastAsia="zh-CN"/>
        </w:rPr>
      </w:pPr>
      <w:r w:rsidRPr="001D2E49">
        <w:t xml:space="preserve">This IE </w:t>
      </w:r>
      <w:r w:rsidR="00894D57" w:rsidRPr="001D2E49">
        <w:t xml:space="preserve">indicates </w:t>
      </w:r>
      <w:r w:rsidR="00894D57">
        <w:t>the QoE Reference</w:t>
      </w:r>
      <w:r w:rsidRPr="001D2E49">
        <w:rPr>
          <w:rFonts w:eastAsia="SimSun" w:hint="eastAsia"/>
          <w:lang w:eastAsia="zh-CN"/>
        </w:rPr>
        <w:t>.</w:t>
      </w:r>
    </w:p>
    <w:tbl>
      <w:tblPr>
        <w:tblW w:w="76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992"/>
        <w:gridCol w:w="851"/>
        <w:gridCol w:w="1559"/>
        <w:gridCol w:w="2410"/>
      </w:tblGrid>
      <w:tr w:rsidR="00F13D41" w:rsidRPr="001D2E49" w14:paraId="11AABE37" w14:textId="77777777" w:rsidTr="00F13D41">
        <w:tc>
          <w:tcPr>
            <w:tcW w:w="1843" w:type="dxa"/>
          </w:tcPr>
          <w:p w14:paraId="78EC4620" w14:textId="77777777" w:rsidR="00F13D41" w:rsidRPr="001D2E49" w:rsidRDefault="00F13D41" w:rsidP="00A36DCE">
            <w:pPr>
              <w:pStyle w:val="TAH"/>
              <w:rPr>
                <w:rFonts w:cs="Arial"/>
                <w:lang w:eastAsia="ja-JP"/>
              </w:rPr>
            </w:pPr>
            <w:r w:rsidRPr="001D2E49">
              <w:rPr>
                <w:rFonts w:cs="Arial"/>
                <w:lang w:eastAsia="ja-JP"/>
              </w:rPr>
              <w:t>IE/Group Name</w:t>
            </w:r>
          </w:p>
        </w:tc>
        <w:tc>
          <w:tcPr>
            <w:tcW w:w="992" w:type="dxa"/>
          </w:tcPr>
          <w:p w14:paraId="1B4B4046" w14:textId="77777777" w:rsidR="00F13D41" w:rsidRPr="001D2E49" w:rsidRDefault="00F13D41" w:rsidP="00A36DCE">
            <w:pPr>
              <w:pStyle w:val="TAH"/>
              <w:rPr>
                <w:rFonts w:cs="Arial"/>
                <w:lang w:eastAsia="ja-JP"/>
              </w:rPr>
            </w:pPr>
            <w:r w:rsidRPr="001D2E49">
              <w:rPr>
                <w:rFonts w:cs="Arial"/>
                <w:lang w:eastAsia="ja-JP"/>
              </w:rPr>
              <w:t>Presence</w:t>
            </w:r>
          </w:p>
        </w:tc>
        <w:tc>
          <w:tcPr>
            <w:tcW w:w="851" w:type="dxa"/>
          </w:tcPr>
          <w:p w14:paraId="30ED80A4" w14:textId="77777777" w:rsidR="00F13D41" w:rsidRPr="001D2E49" w:rsidRDefault="00F13D41" w:rsidP="00A36DCE">
            <w:pPr>
              <w:pStyle w:val="TAH"/>
              <w:rPr>
                <w:rFonts w:cs="Arial"/>
                <w:lang w:eastAsia="ja-JP"/>
              </w:rPr>
            </w:pPr>
            <w:r w:rsidRPr="001D2E49">
              <w:rPr>
                <w:rFonts w:cs="Arial"/>
                <w:lang w:eastAsia="ja-JP"/>
              </w:rPr>
              <w:t>Range</w:t>
            </w:r>
          </w:p>
        </w:tc>
        <w:tc>
          <w:tcPr>
            <w:tcW w:w="1559" w:type="dxa"/>
          </w:tcPr>
          <w:p w14:paraId="226CEACC" w14:textId="77777777" w:rsidR="00F13D41" w:rsidRPr="001D2E49" w:rsidRDefault="00F13D41" w:rsidP="00A36DCE">
            <w:pPr>
              <w:pStyle w:val="TAH"/>
              <w:rPr>
                <w:rFonts w:cs="Arial"/>
                <w:lang w:eastAsia="ja-JP"/>
              </w:rPr>
            </w:pPr>
            <w:r w:rsidRPr="001D2E49">
              <w:rPr>
                <w:rFonts w:cs="Arial"/>
                <w:lang w:eastAsia="ja-JP"/>
              </w:rPr>
              <w:t>IE type and reference</w:t>
            </w:r>
          </w:p>
        </w:tc>
        <w:tc>
          <w:tcPr>
            <w:tcW w:w="2410" w:type="dxa"/>
          </w:tcPr>
          <w:p w14:paraId="47785812" w14:textId="77777777" w:rsidR="00F13D41" w:rsidRPr="001D2E49" w:rsidRDefault="00F13D41" w:rsidP="00A36DCE">
            <w:pPr>
              <w:pStyle w:val="TAH"/>
              <w:rPr>
                <w:rFonts w:cs="Arial"/>
                <w:lang w:eastAsia="ja-JP"/>
              </w:rPr>
            </w:pPr>
            <w:r w:rsidRPr="001D2E49">
              <w:rPr>
                <w:rFonts w:cs="Arial"/>
                <w:lang w:eastAsia="ja-JP"/>
              </w:rPr>
              <w:t>Semantics description</w:t>
            </w:r>
          </w:p>
        </w:tc>
      </w:tr>
      <w:tr w:rsidR="00F13D41" w:rsidRPr="001D2E49" w14:paraId="4097A74B" w14:textId="77777777" w:rsidTr="00F13D41">
        <w:tc>
          <w:tcPr>
            <w:tcW w:w="1843" w:type="dxa"/>
          </w:tcPr>
          <w:p w14:paraId="5E500F35" w14:textId="352B0463" w:rsidR="00F13D41" w:rsidRPr="001D2E49" w:rsidRDefault="00F13D41" w:rsidP="00A36DCE">
            <w:pPr>
              <w:pStyle w:val="TAL"/>
              <w:rPr>
                <w:rFonts w:eastAsia="Batang" w:cs="Arial"/>
                <w:lang w:eastAsia="ja-JP"/>
              </w:rPr>
            </w:pPr>
            <w:r>
              <w:rPr>
                <w:rFonts w:cs="Arial"/>
                <w:lang w:eastAsia="ja-JP"/>
              </w:rPr>
              <w:t>QoE Reference</w:t>
            </w:r>
          </w:p>
        </w:tc>
        <w:tc>
          <w:tcPr>
            <w:tcW w:w="992" w:type="dxa"/>
          </w:tcPr>
          <w:p w14:paraId="40644C2E" w14:textId="77777777" w:rsidR="00F13D41" w:rsidRPr="001D2E49" w:rsidRDefault="00F13D41" w:rsidP="00A36DCE">
            <w:pPr>
              <w:pStyle w:val="TAL"/>
              <w:rPr>
                <w:rFonts w:cs="Arial"/>
                <w:lang w:eastAsia="ja-JP"/>
              </w:rPr>
            </w:pPr>
            <w:r w:rsidRPr="001D2E49">
              <w:rPr>
                <w:rFonts w:cs="Arial"/>
                <w:lang w:eastAsia="ja-JP"/>
              </w:rPr>
              <w:t>M</w:t>
            </w:r>
          </w:p>
        </w:tc>
        <w:tc>
          <w:tcPr>
            <w:tcW w:w="851" w:type="dxa"/>
          </w:tcPr>
          <w:p w14:paraId="62CB5813" w14:textId="77777777" w:rsidR="00F13D41" w:rsidRPr="001D2E49" w:rsidRDefault="00F13D41" w:rsidP="00A36DCE">
            <w:pPr>
              <w:pStyle w:val="TAL"/>
              <w:rPr>
                <w:i/>
                <w:lang w:eastAsia="ja-JP"/>
              </w:rPr>
            </w:pPr>
          </w:p>
        </w:tc>
        <w:tc>
          <w:tcPr>
            <w:tcW w:w="1559" w:type="dxa"/>
          </w:tcPr>
          <w:p w14:paraId="2DFEC92A" w14:textId="09313294" w:rsidR="00F13D41" w:rsidRPr="001D2E49" w:rsidRDefault="00F13D41" w:rsidP="00A36DCE">
            <w:pPr>
              <w:pStyle w:val="TAL"/>
              <w:rPr>
                <w:lang w:eastAsia="ja-JP"/>
              </w:rPr>
            </w:pPr>
            <w:r w:rsidRPr="001D2E49">
              <w:rPr>
                <w:rFonts w:cs="Arial"/>
                <w:lang w:eastAsia="ja-JP"/>
              </w:rPr>
              <w:t>OCTET STRING (SIZE(</w:t>
            </w:r>
            <w:r>
              <w:rPr>
                <w:rFonts w:cs="Arial"/>
                <w:lang w:eastAsia="ja-JP"/>
              </w:rPr>
              <w:t>6</w:t>
            </w:r>
            <w:r w:rsidRPr="001D2E49">
              <w:rPr>
                <w:rFonts w:cs="Arial"/>
                <w:lang w:eastAsia="ja-JP"/>
              </w:rPr>
              <w:t>))</w:t>
            </w:r>
          </w:p>
        </w:tc>
        <w:tc>
          <w:tcPr>
            <w:tcW w:w="2410" w:type="dxa"/>
          </w:tcPr>
          <w:p w14:paraId="7444D1A9" w14:textId="0268FCE0" w:rsidR="00F13D41" w:rsidRPr="001D2E49" w:rsidRDefault="00F13D41" w:rsidP="00EC338D">
            <w:pPr>
              <w:pStyle w:val="TAL"/>
              <w:rPr>
                <w:lang w:eastAsia="ja-JP"/>
              </w:rPr>
            </w:pPr>
            <w:r>
              <w:rPr>
                <w:rFonts w:cs="Arial"/>
                <w:lang w:eastAsia="ja-JP"/>
              </w:rPr>
              <w:t>D</w:t>
            </w:r>
            <w:r w:rsidRPr="001D2E49">
              <w:rPr>
                <w:rFonts w:cs="Arial"/>
                <w:lang w:eastAsia="ja-JP"/>
              </w:rPr>
              <w:t xml:space="preserve">efined in TS </w:t>
            </w:r>
            <w:r>
              <w:rPr>
                <w:rFonts w:cs="Arial"/>
                <w:lang w:eastAsia="ja-JP"/>
              </w:rPr>
              <w:t>28</w:t>
            </w:r>
            <w:r w:rsidRPr="001D2E49">
              <w:rPr>
                <w:rFonts w:cs="Arial"/>
                <w:lang w:eastAsia="ja-JP"/>
              </w:rPr>
              <w:t>.4</w:t>
            </w:r>
            <w:r>
              <w:rPr>
                <w:rFonts w:cs="Arial"/>
                <w:lang w:eastAsia="ja-JP"/>
              </w:rPr>
              <w:t>05</w:t>
            </w:r>
            <w:r w:rsidRPr="001D2E49">
              <w:rPr>
                <w:rFonts w:cs="Arial"/>
                <w:lang w:eastAsia="ja-JP"/>
              </w:rPr>
              <w:t xml:space="preserve"> [</w:t>
            </w:r>
            <w:r>
              <w:rPr>
                <w:rFonts w:cs="Arial"/>
                <w:lang w:eastAsia="ja-JP"/>
              </w:rPr>
              <w:t>x</w:t>
            </w:r>
            <w:r w:rsidRPr="001D2E49">
              <w:rPr>
                <w:rFonts w:cs="Arial"/>
                <w:lang w:eastAsia="ja-JP"/>
              </w:rPr>
              <w:t>]</w:t>
            </w:r>
            <w:r>
              <w:rPr>
                <w:rFonts w:cs="Arial"/>
                <w:lang w:eastAsia="ja-JP"/>
              </w:rPr>
              <w:t>,</w:t>
            </w:r>
            <w:r w:rsidRPr="001D2E49">
              <w:rPr>
                <w:rFonts w:cs="Arial"/>
                <w:lang w:eastAsia="ja-JP"/>
              </w:rPr>
              <w:t xml:space="preserve"> with </w:t>
            </w:r>
            <w:r>
              <w:rPr>
                <w:rFonts w:cs="Arial"/>
                <w:lang w:eastAsia="ja-JP"/>
              </w:rPr>
              <w:t xml:space="preserve">first three octets containing </w:t>
            </w:r>
            <w:r w:rsidRPr="001D2E49">
              <w:rPr>
                <w:rFonts w:cs="Arial"/>
                <w:lang w:eastAsia="ja-JP"/>
              </w:rPr>
              <w:t>PLMN information encoded as in 9.3.3.1</w:t>
            </w:r>
            <w:r>
              <w:rPr>
                <w:rFonts w:cs="Arial"/>
                <w:lang w:eastAsia="ja-JP"/>
              </w:rPr>
              <w:t xml:space="preserve">. </w:t>
            </w:r>
            <w:r w:rsidRPr="007B4F0A">
              <w:t xml:space="preserve">The </w:t>
            </w:r>
            <w:r>
              <w:t xml:space="preserve">last 3 octets contain the </w:t>
            </w:r>
            <w:r w:rsidRPr="007B4F0A">
              <w:t>QMC ID</w:t>
            </w:r>
            <w:r>
              <w:t>. PLMN information and QMC ID</w:t>
            </w:r>
            <w:r w:rsidRPr="007B4F0A">
              <w:t xml:space="preserve"> </w:t>
            </w:r>
            <w:r>
              <w:t>are</w:t>
            </w:r>
            <w:r w:rsidRPr="007B4F0A">
              <w:t xml:space="preserve"> </w:t>
            </w:r>
            <w:r>
              <w:t>provided</w:t>
            </w:r>
            <w:r w:rsidRPr="007B4F0A">
              <w:t xml:space="preserve"> by the management system</w:t>
            </w:r>
            <w:r>
              <w:t>.</w:t>
            </w:r>
          </w:p>
          <w:p w14:paraId="0F2C33A3" w14:textId="3F6E0207" w:rsidR="00F13D41" w:rsidRPr="001D2E49" w:rsidRDefault="00F13D41" w:rsidP="00A36DCE">
            <w:pPr>
              <w:pStyle w:val="TAL"/>
              <w:rPr>
                <w:lang w:eastAsia="ja-JP"/>
              </w:rPr>
            </w:pPr>
          </w:p>
        </w:tc>
      </w:tr>
    </w:tbl>
    <w:p w14:paraId="2B4B0ADB" w14:textId="77777777" w:rsidR="00EC338D" w:rsidRDefault="00EC338D" w:rsidP="00E96BC3"/>
    <w:p w14:paraId="1ABF5892" w14:textId="124552BB" w:rsidR="004A3799" w:rsidRPr="004A3799" w:rsidRDefault="004A3799" w:rsidP="004A3799">
      <w:pPr>
        <w:rPr>
          <w:b/>
          <w:bCs/>
        </w:rPr>
      </w:pPr>
      <w:r w:rsidRPr="004A3799">
        <w:rPr>
          <w:b/>
          <w:bCs/>
        </w:rPr>
        <w:t>Proposal 1: Define the QoE Reference in separate IE in NGAP and XnAP.</w:t>
      </w:r>
    </w:p>
    <w:p w14:paraId="6EA44A52" w14:textId="68A095F3" w:rsidR="004A3799" w:rsidRDefault="004A3799" w:rsidP="004A3799">
      <w:r>
        <w:t xml:space="preserve">However, as we indicate in our papers submitted to AI 15.2.1.1 (stage 2) and 15.2.2 (mobility), we believe the above applies to s-based activation/deactivation only where the QMC job configured by OAM corresponds to a single QMC session activated in the UE. For globally unique identification of m-based QMC sessions (per UE), </w:t>
      </w:r>
      <w:r w:rsidR="0049223E">
        <w:t>where multiple QMC sessions</w:t>
      </w:r>
      <w:r>
        <w:t xml:space="preserve"> may be generated from a single OAM-defined QMC job, we </w:t>
      </w:r>
      <w:r w:rsidR="0049223E">
        <w:t>provide further discussion</w:t>
      </w:r>
      <w:r>
        <w:t xml:space="preserve"> under these other agenda items.</w:t>
      </w:r>
    </w:p>
    <w:p w14:paraId="212D1D27" w14:textId="7161B5EE" w:rsidR="00EC338D" w:rsidRDefault="00AC425E" w:rsidP="00F73B48">
      <w:pPr>
        <w:pStyle w:val="Heading2"/>
      </w:pPr>
      <w:r>
        <w:lastRenderedPageBreak/>
        <w:t>2.2</w:t>
      </w:r>
      <w:r>
        <w:tab/>
        <w:t>Signalling of slice ID</w:t>
      </w:r>
    </w:p>
    <w:p w14:paraId="77EA93D9" w14:textId="6B9CEDC1" w:rsidR="00AC425E" w:rsidRDefault="00AC425E" w:rsidP="00E96BC3">
      <w:r>
        <w:t>The following FFS was captured at last meeting:</w:t>
      </w:r>
    </w:p>
    <w:p w14:paraId="0415C6ED" w14:textId="77777777" w:rsidR="00F73B48" w:rsidRDefault="00F73B48" w:rsidP="00F73B48">
      <w:pPr>
        <w:pStyle w:val="ListParagraph2"/>
        <w:spacing w:after="0" w:line="254" w:lineRule="auto"/>
        <w:ind w:left="0"/>
        <w:rPr>
          <w:rFonts w:ascii="Calibri" w:hAnsi="Calibri" w:cs="Calibri"/>
          <w:i/>
          <w:iCs/>
          <w:color w:val="FF0000"/>
          <w:sz w:val="16"/>
          <w:szCs w:val="16"/>
          <w:lang w:eastAsia="en-US"/>
        </w:rPr>
      </w:pPr>
      <w:r>
        <w:rPr>
          <w:rFonts w:ascii="Calibri" w:hAnsi="Calibri" w:cs="Calibri"/>
          <w:i/>
          <w:iCs/>
          <w:color w:val="FF0000"/>
          <w:sz w:val="16"/>
          <w:szCs w:val="16"/>
          <w:lang w:eastAsia="en-US"/>
        </w:rPr>
        <w:t>Whether slice ID should be configured as an explicit IE to UE over Uu, at least for RAN visible QoE metric configuration</w:t>
      </w:r>
    </w:p>
    <w:p w14:paraId="61154E0C" w14:textId="3A74A64D" w:rsidR="00AC425E" w:rsidRDefault="00AC425E" w:rsidP="00E96BC3"/>
    <w:p w14:paraId="281CB3E9" w14:textId="3EDA0E21" w:rsidR="00F73B48" w:rsidRDefault="002714C0" w:rsidP="00E96BC3">
      <w:r>
        <w:t xml:space="preserve">TR 38.890 describes 3 solutions for </w:t>
      </w:r>
      <w:r>
        <w:rPr>
          <w:lang w:eastAsia="zh-CN"/>
        </w:rPr>
        <w:t>p</w:t>
      </w:r>
      <w:r w:rsidRPr="00517B03">
        <w:rPr>
          <w:rFonts w:hint="eastAsia"/>
        </w:rPr>
        <w:t>er</w:t>
      </w:r>
      <w:r>
        <w:rPr>
          <w:rFonts w:hint="eastAsia"/>
          <w:lang w:eastAsia="zh-CN"/>
        </w:rPr>
        <w:t>-</w:t>
      </w:r>
      <w:r w:rsidRPr="00517B03">
        <w:rPr>
          <w:rFonts w:hint="eastAsia"/>
        </w:rPr>
        <w:t>slice</w:t>
      </w:r>
      <w:r w:rsidRPr="00517B03">
        <w:t xml:space="preserve"> </w:t>
      </w:r>
      <w:r w:rsidRPr="00517B03">
        <w:rPr>
          <w:rFonts w:hint="eastAsia"/>
        </w:rPr>
        <w:t xml:space="preserve">QoE </w:t>
      </w:r>
      <w:r w:rsidRPr="00517B03">
        <w:t>measurement</w:t>
      </w:r>
      <w:r w:rsidR="00660992">
        <w:t xml:space="preserve">, and details of the listed solutions are to be further </w:t>
      </w:r>
      <w:r w:rsidR="00660992" w:rsidRPr="00660992">
        <w:t>discussed in normative phase</w:t>
      </w:r>
      <w:r>
        <w:t xml:space="preserve">. </w:t>
      </w:r>
      <w:r w:rsidR="00660992">
        <w:t>According to earlier feedback from SA4 [1], t</w:t>
      </w:r>
      <w:r w:rsidR="00660992" w:rsidRPr="00B77AB3">
        <w:t>he Media Session Handler and the MTSI client are able to identify the PDU session and the corresponding S-NSSAI and DN</w:t>
      </w:r>
      <w:r w:rsidR="00660992">
        <w:t xml:space="preserve">N. We therefore believe that the principle of solution 2 of the TR is applicable, and because the Media Session Handler can identify the PDU session and corresponding S-NSSAI there is no need to request RAN2 to send the slice ID as explicit IE over Uu. </w:t>
      </w:r>
      <w:r w:rsidR="00F73B48">
        <w:t xml:space="preserve">Also for RVQOE, the slice(s) to be reported may be part of the QMC configuration container due to the agreed dependency between RVQOE and RAN-transparent QoE reporting. </w:t>
      </w:r>
    </w:p>
    <w:p w14:paraId="498C19CB" w14:textId="40C2BED5" w:rsidR="00F73B48" w:rsidRDefault="00F73B48" w:rsidP="00E96BC3">
      <w:pPr>
        <w:rPr>
          <w:b/>
          <w:bCs/>
        </w:rPr>
      </w:pPr>
      <w:r w:rsidRPr="00F73B48">
        <w:rPr>
          <w:b/>
          <w:bCs/>
        </w:rPr>
        <w:t>Proposal 2: No need to request RAN2 to send the slice ID as explicit IE over Uu.</w:t>
      </w:r>
    </w:p>
    <w:p w14:paraId="0A1FBD36" w14:textId="52C8CEA2" w:rsidR="00660992" w:rsidRPr="00660992" w:rsidRDefault="00660992" w:rsidP="00E96BC3">
      <w:r>
        <w:t xml:space="preserve">The solutions for </w:t>
      </w:r>
      <w:r>
        <w:rPr>
          <w:lang w:eastAsia="zh-CN"/>
        </w:rPr>
        <w:t>p</w:t>
      </w:r>
      <w:r w:rsidRPr="00517B03">
        <w:rPr>
          <w:rFonts w:hint="eastAsia"/>
        </w:rPr>
        <w:t>er</w:t>
      </w:r>
      <w:r>
        <w:rPr>
          <w:rFonts w:hint="eastAsia"/>
          <w:lang w:eastAsia="zh-CN"/>
        </w:rPr>
        <w:t>-</w:t>
      </w:r>
      <w:r w:rsidRPr="00517B03">
        <w:rPr>
          <w:rFonts w:hint="eastAsia"/>
        </w:rPr>
        <w:t>slice</w:t>
      </w:r>
      <w:r w:rsidRPr="00517B03">
        <w:t xml:space="preserve"> </w:t>
      </w:r>
      <w:r w:rsidRPr="00517B03">
        <w:rPr>
          <w:rFonts w:hint="eastAsia"/>
        </w:rPr>
        <w:t xml:space="preserve">QoE </w:t>
      </w:r>
      <w:r w:rsidRPr="00517B03">
        <w:t>measurement</w:t>
      </w:r>
      <w:r>
        <w:t xml:space="preserve"> listed in the TR all apply to m-based QMC, hence with CN impact indicated as "N/A" in the solution evaluation (s-based per slice QMC is still mentioned in a single sentence for mobility only). </w:t>
      </w:r>
      <w:r w:rsidR="00607EC6">
        <w:t xml:space="preserve">However, at RAN3#113-e, a majority of companies supported introduction of slice scope over NG, while it is </w:t>
      </w:r>
      <w:r w:rsidR="005A2459">
        <w:t xml:space="preserve">still </w:t>
      </w:r>
      <w:r w:rsidR="00607EC6">
        <w:t>not clear to us how the NG-RAN node will use this information</w:t>
      </w:r>
      <w:r w:rsidR="00A218A4">
        <w:t xml:space="preserve"> and there is so far no related semantics description in any of the BL CRs</w:t>
      </w:r>
      <w:r w:rsidR="00607EC6">
        <w:t xml:space="preserve">. In our view, </w:t>
      </w:r>
      <w:r w:rsidR="00A218A4">
        <w:t>t</w:t>
      </w:r>
      <w:r w:rsidR="00607EC6">
        <w:t>he CN knows the allowed slice and can configure QMC per PDU session as appropriate</w:t>
      </w:r>
      <w:r w:rsidR="00A218A4">
        <w:t xml:space="preserve"> and f</w:t>
      </w:r>
      <w:r>
        <w:t>or this reason it is not clear to us that S-NSSAI List is required over NG/Xn</w:t>
      </w:r>
      <w:r w:rsidR="00A218A4">
        <w:t>. Alternatively the associated solution needs to be described in stage 2 and/or stage 3, e.g. the NG-RAN node will filter activation of per slice s-based QMC depending on allowed slice?</w:t>
      </w:r>
    </w:p>
    <w:p w14:paraId="7848B9BF" w14:textId="7E3ED155" w:rsidR="00F73B48" w:rsidRPr="00F73B48" w:rsidRDefault="00F73B48" w:rsidP="00E96BC3">
      <w:pPr>
        <w:rPr>
          <w:b/>
          <w:bCs/>
        </w:rPr>
      </w:pPr>
      <w:r w:rsidRPr="00F73B48">
        <w:rPr>
          <w:b/>
          <w:bCs/>
        </w:rPr>
        <w:t xml:space="preserve">Proposal 3: </w:t>
      </w:r>
      <w:r w:rsidR="00A218A4">
        <w:rPr>
          <w:b/>
          <w:bCs/>
        </w:rPr>
        <w:t xml:space="preserve">Agree on solution for s-based per-slice </w:t>
      </w:r>
      <w:r w:rsidR="005A2459">
        <w:rPr>
          <w:b/>
          <w:bCs/>
        </w:rPr>
        <w:t>QMC</w:t>
      </w:r>
      <w:r w:rsidR="00A218A4">
        <w:rPr>
          <w:b/>
          <w:bCs/>
        </w:rPr>
        <w:t>, or r</w:t>
      </w:r>
      <w:r w:rsidRPr="00F73B48">
        <w:rPr>
          <w:b/>
          <w:bCs/>
        </w:rPr>
        <w:t>emove the S-NSSAI List from NGAP and XnAP BL CRs.</w:t>
      </w:r>
    </w:p>
    <w:p w14:paraId="4D864E20" w14:textId="27AA9D71" w:rsidR="00F73B48" w:rsidRPr="00E96BC3" w:rsidRDefault="00A51060" w:rsidP="00A51060">
      <w:pPr>
        <w:pStyle w:val="Heading2"/>
      </w:pPr>
      <w:r>
        <w:t>2.3</w:t>
      </w:r>
      <w:r>
        <w:tab/>
      </w:r>
      <w:r w:rsidRPr="00E96BC3">
        <w:t xml:space="preserve">QoE </w:t>
      </w:r>
      <w:r>
        <w:t>m</w:t>
      </w:r>
      <w:r w:rsidRPr="00E96BC3">
        <w:t xml:space="preserve">easurement </w:t>
      </w:r>
      <w:r>
        <w:t>c</w:t>
      </w:r>
      <w:r w:rsidRPr="00E96BC3">
        <w:t>apabili</w:t>
      </w:r>
      <w:r>
        <w:t>ty signalling</w:t>
      </w:r>
    </w:p>
    <w:p w14:paraId="6021373E" w14:textId="77777777" w:rsidR="00A51060" w:rsidRDefault="00A51060" w:rsidP="00A51060">
      <w:r>
        <w:t>The following FFS was captured at last meeting:</w:t>
      </w:r>
    </w:p>
    <w:p w14:paraId="45CD83AC" w14:textId="77777777" w:rsidR="00A51060" w:rsidRDefault="00A51060" w:rsidP="00A51060">
      <w:pPr>
        <w:pStyle w:val="ListParagraph2"/>
        <w:spacing w:after="0" w:line="254" w:lineRule="auto"/>
        <w:ind w:left="0"/>
        <w:rPr>
          <w:rFonts w:ascii="Calibri" w:hAnsi="Calibri" w:cs="Calibri"/>
          <w:i/>
          <w:iCs/>
          <w:color w:val="FF0000"/>
          <w:sz w:val="16"/>
          <w:szCs w:val="16"/>
          <w:lang w:eastAsia="en-US"/>
        </w:rPr>
      </w:pPr>
      <w:r>
        <w:rPr>
          <w:rFonts w:ascii="Calibri" w:hAnsi="Calibri" w:cs="Calibri"/>
          <w:i/>
          <w:iCs/>
          <w:color w:val="FF0000"/>
          <w:sz w:val="16"/>
          <w:szCs w:val="16"/>
          <w:lang w:eastAsia="en-US"/>
        </w:rPr>
        <w:t>Whether to extend some NG messages, e.g. NGAP INITIAL UE MESSAGE, with a new QoE Measurement Capabilities IE including a UE Application Layer Measurement Capability and a Max Number of UE Application Layer Measurements</w:t>
      </w:r>
    </w:p>
    <w:p w14:paraId="51CDD2EA" w14:textId="77777777" w:rsidR="00A51060" w:rsidRDefault="00A51060" w:rsidP="00E96BC3"/>
    <w:p w14:paraId="79338DD4" w14:textId="36787891" w:rsidR="00A51060" w:rsidRDefault="00A51060" w:rsidP="00E96BC3">
      <w:r>
        <w:t xml:space="preserve">We expect the </w:t>
      </w:r>
      <w:r w:rsidRPr="00E96BC3">
        <w:t xml:space="preserve">QoE </w:t>
      </w:r>
      <w:r>
        <w:t>m</w:t>
      </w:r>
      <w:r w:rsidRPr="00E96BC3">
        <w:t xml:space="preserve">easurement </w:t>
      </w:r>
      <w:r>
        <w:t>c</w:t>
      </w:r>
      <w:r w:rsidRPr="00E96BC3">
        <w:t>apabili</w:t>
      </w:r>
      <w:r>
        <w:t>ty to be introduced by RAN2 as part of UE radio capabilities. Therefore any explicit network signalling for this new feature doesn't seem needed.</w:t>
      </w:r>
    </w:p>
    <w:p w14:paraId="65DD593A" w14:textId="77777777" w:rsidR="00A51060" w:rsidRPr="00A51060" w:rsidRDefault="00A51060" w:rsidP="00A51060">
      <w:pPr>
        <w:rPr>
          <w:b/>
          <w:bCs/>
        </w:rPr>
      </w:pPr>
      <w:r w:rsidRPr="00A51060">
        <w:rPr>
          <w:b/>
          <w:bCs/>
        </w:rPr>
        <w:t xml:space="preserve">Proposal 4: </w:t>
      </w:r>
      <w:r>
        <w:rPr>
          <w:b/>
          <w:bCs/>
        </w:rPr>
        <w:t>No need for e</w:t>
      </w:r>
      <w:r w:rsidRPr="00A51060">
        <w:rPr>
          <w:b/>
          <w:bCs/>
        </w:rPr>
        <w:t>xplicit network signalling for UE QoE measurement capability.</w:t>
      </w:r>
    </w:p>
    <w:p w14:paraId="7F7CD803" w14:textId="7DCE1586" w:rsidR="00BF4CCC" w:rsidRDefault="00BF4CCC"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4BC50D09" w14:textId="77777777" w:rsidR="00A51060" w:rsidRPr="004A3799" w:rsidRDefault="00A51060" w:rsidP="00A51060">
      <w:pPr>
        <w:rPr>
          <w:b/>
          <w:bCs/>
        </w:rPr>
      </w:pPr>
      <w:r w:rsidRPr="004A3799">
        <w:rPr>
          <w:b/>
          <w:bCs/>
        </w:rPr>
        <w:t>Proposal 1: Define the QoE Reference in separate IE in NGAP and XnAP.</w:t>
      </w:r>
    </w:p>
    <w:p w14:paraId="6D4CE28F" w14:textId="77777777" w:rsidR="00A51060" w:rsidRPr="00F73B48" w:rsidRDefault="00A51060" w:rsidP="00A51060">
      <w:pPr>
        <w:rPr>
          <w:b/>
          <w:bCs/>
        </w:rPr>
      </w:pPr>
      <w:r w:rsidRPr="00F73B48">
        <w:rPr>
          <w:b/>
          <w:bCs/>
        </w:rPr>
        <w:t>Proposal 2: No need to request RAN2 to send the slice ID as explicit IE over Uu.</w:t>
      </w:r>
    </w:p>
    <w:p w14:paraId="7D3E98E6" w14:textId="77777777" w:rsidR="00A218A4" w:rsidRPr="00F73B48" w:rsidRDefault="00A218A4" w:rsidP="00A218A4">
      <w:pPr>
        <w:rPr>
          <w:b/>
          <w:bCs/>
        </w:rPr>
      </w:pPr>
      <w:r w:rsidRPr="00F73B48">
        <w:rPr>
          <w:b/>
          <w:bCs/>
        </w:rPr>
        <w:t xml:space="preserve">Proposal 3: </w:t>
      </w:r>
      <w:r>
        <w:rPr>
          <w:b/>
          <w:bCs/>
        </w:rPr>
        <w:t>Agree on solution for s-based per-slice QoE measurement, or r</w:t>
      </w:r>
      <w:r w:rsidRPr="00F73B48">
        <w:rPr>
          <w:b/>
          <w:bCs/>
        </w:rPr>
        <w:t>emove the S-NSSAI List from NGAP and XnAP BL CRs.</w:t>
      </w:r>
    </w:p>
    <w:p w14:paraId="5F867A72" w14:textId="21592C0A" w:rsidR="00A51060" w:rsidRPr="00A51060" w:rsidRDefault="00A51060" w:rsidP="00A51060">
      <w:pPr>
        <w:rPr>
          <w:b/>
          <w:bCs/>
        </w:rPr>
      </w:pPr>
      <w:r w:rsidRPr="00A51060">
        <w:rPr>
          <w:b/>
          <w:bCs/>
        </w:rPr>
        <w:t xml:space="preserve">Proposal 4: </w:t>
      </w:r>
      <w:r>
        <w:rPr>
          <w:b/>
          <w:bCs/>
        </w:rPr>
        <w:t>No need for e</w:t>
      </w:r>
      <w:r w:rsidRPr="00A51060">
        <w:rPr>
          <w:b/>
          <w:bCs/>
        </w:rPr>
        <w:t>xplicit network signalling for UE QoE measurement capability.</w:t>
      </w:r>
    </w:p>
    <w:p w14:paraId="1D61E5AF" w14:textId="77777777" w:rsidR="0039756C" w:rsidRDefault="0039756C" w:rsidP="002B35E4">
      <w:pPr>
        <w:pStyle w:val="00BodyText"/>
        <w:spacing w:after="0"/>
        <w:rPr>
          <w:rFonts w:ascii="Times New Roman" w:hAnsi="Times New Roman"/>
          <w:b/>
          <w:bCs/>
          <w:sz w:val="20"/>
          <w:lang w:val="en-GB"/>
        </w:rPr>
      </w:pPr>
    </w:p>
    <w:p w14:paraId="0D5AA1C1" w14:textId="77777777" w:rsidR="00660992" w:rsidRPr="006E13D1" w:rsidRDefault="00660992" w:rsidP="00660992">
      <w:pPr>
        <w:pStyle w:val="Heading1"/>
      </w:pPr>
      <w:r w:rsidRPr="006E13D1">
        <w:t>References</w:t>
      </w:r>
    </w:p>
    <w:p w14:paraId="796D3B68" w14:textId="6C04DDCD" w:rsidR="005A2459" w:rsidRDefault="005A2459" w:rsidP="005A2459">
      <w:pPr>
        <w:overflowPunct w:val="0"/>
        <w:autoSpaceDE w:val="0"/>
        <w:autoSpaceDN w:val="0"/>
        <w:adjustRightInd w:val="0"/>
        <w:ind w:left="567" w:hanging="567"/>
        <w:textAlignment w:val="baseline"/>
      </w:pPr>
      <w:r>
        <w:t>[1]</w:t>
      </w:r>
      <w:r>
        <w:tab/>
        <w:t xml:space="preserve">R3-214716 - S4-211225, </w:t>
      </w:r>
      <w:r w:rsidRPr="00466B7E">
        <w:rPr>
          <w:i/>
          <w:iCs/>
        </w:rPr>
        <w:t xml:space="preserve">Reply LS on the mapping between service types and slice at application </w:t>
      </w:r>
      <w:r>
        <w:t xml:space="preserve">(to RAN3 cc </w:t>
      </w:r>
      <w:r w:rsidRPr="00143BCC">
        <w:t>CT1, SA4, RAN2, SA2</w:t>
      </w:r>
      <w:r>
        <w:t>), SA4#115-e</w:t>
      </w:r>
    </w:p>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1CC3B" w14:textId="77777777" w:rsidR="00265FC5" w:rsidRDefault="00265FC5">
      <w:r>
        <w:separator/>
      </w:r>
    </w:p>
  </w:endnote>
  <w:endnote w:type="continuationSeparator" w:id="0">
    <w:p w14:paraId="29D67836" w14:textId="77777777" w:rsidR="00265FC5" w:rsidRDefault="0026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5558F" w14:textId="77777777" w:rsidR="00265FC5" w:rsidRDefault="00265FC5">
      <w:r>
        <w:separator/>
      </w:r>
    </w:p>
  </w:footnote>
  <w:footnote w:type="continuationSeparator" w:id="0">
    <w:p w14:paraId="339ED1DD" w14:textId="77777777" w:rsidR="00265FC5" w:rsidRDefault="00265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9756D2F"/>
    <w:multiLevelType w:val="hybridMultilevel"/>
    <w:tmpl w:val="C7C0884C"/>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371D7A"/>
    <w:multiLevelType w:val="hybridMultilevel"/>
    <w:tmpl w:val="54F81E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5227E6"/>
    <w:multiLevelType w:val="hybridMultilevel"/>
    <w:tmpl w:val="73864560"/>
    <w:lvl w:ilvl="0" w:tplc="040C0001">
      <w:start w:val="1"/>
      <w:numFmt w:val="bullet"/>
      <w:lvlText w:val=""/>
      <w:lvlJc w:val="left"/>
      <w:pPr>
        <w:ind w:left="720" w:hanging="360"/>
      </w:pPr>
      <w:rPr>
        <w:rFonts w:ascii="Symbol" w:hAnsi="Symbol" w:hint="default"/>
      </w:rPr>
    </w:lvl>
    <w:lvl w:ilvl="1" w:tplc="C010C6C4">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4"/>
  </w:num>
  <w:num w:numId="7">
    <w:abstractNumId w:val="3"/>
  </w:num>
  <w:num w:numId="8">
    <w:abstractNumId w:val="6"/>
  </w:num>
  <w:num w:numId="9">
    <w:abstractNumId w:val="6"/>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60D74"/>
    <w:rsid w:val="00080512"/>
    <w:rsid w:val="00083F0D"/>
    <w:rsid w:val="000A43C6"/>
    <w:rsid w:val="000A5A7F"/>
    <w:rsid w:val="000B7BCF"/>
    <w:rsid w:val="000C3B5D"/>
    <w:rsid w:val="000C556D"/>
    <w:rsid w:val="000D376D"/>
    <w:rsid w:val="000D58AB"/>
    <w:rsid w:val="001075B7"/>
    <w:rsid w:val="00115B88"/>
    <w:rsid w:val="00125AE0"/>
    <w:rsid w:val="001370F2"/>
    <w:rsid w:val="001549DD"/>
    <w:rsid w:val="00194CD0"/>
    <w:rsid w:val="001B08B3"/>
    <w:rsid w:val="001C4281"/>
    <w:rsid w:val="001D0D3F"/>
    <w:rsid w:val="001D5B82"/>
    <w:rsid w:val="001F168B"/>
    <w:rsid w:val="001F70B7"/>
    <w:rsid w:val="00213BDF"/>
    <w:rsid w:val="00225F6D"/>
    <w:rsid w:val="0022606D"/>
    <w:rsid w:val="002305DD"/>
    <w:rsid w:val="00243BC7"/>
    <w:rsid w:val="002623FC"/>
    <w:rsid w:val="00264901"/>
    <w:rsid w:val="00265FC5"/>
    <w:rsid w:val="002714C0"/>
    <w:rsid w:val="002747EC"/>
    <w:rsid w:val="002855BF"/>
    <w:rsid w:val="002953B2"/>
    <w:rsid w:val="002B35E4"/>
    <w:rsid w:val="002D5631"/>
    <w:rsid w:val="002E1692"/>
    <w:rsid w:val="002E63F6"/>
    <w:rsid w:val="002F0D22"/>
    <w:rsid w:val="002F6D71"/>
    <w:rsid w:val="003172DC"/>
    <w:rsid w:val="00326069"/>
    <w:rsid w:val="003454FC"/>
    <w:rsid w:val="0035462D"/>
    <w:rsid w:val="00363177"/>
    <w:rsid w:val="003702F7"/>
    <w:rsid w:val="0039756C"/>
    <w:rsid w:val="003A7A31"/>
    <w:rsid w:val="003B3FB3"/>
    <w:rsid w:val="003C4E37"/>
    <w:rsid w:val="003E1194"/>
    <w:rsid w:val="003E16BE"/>
    <w:rsid w:val="003E7223"/>
    <w:rsid w:val="003F1C3A"/>
    <w:rsid w:val="00401855"/>
    <w:rsid w:val="0041537B"/>
    <w:rsid w:val="004253AE"/>
    <w:rsid w:val="00464695"/>
    <w:rsid w:val="0049223E"/>
    <w:rsid w:val="004A3799"/>
    <w:rsid w:val="004D3578"/>
    <w:rsid w:val="004D380D"/>
    <w:rsid w:val="004D3BC1"/>
    <w:rsid w:val="004D3F58"/>
    <w:rsid w:val="004D5E47"/>
    <w:rsid w:val="004E213A"/>
    <w:rsid w:val="004E21FC"/>
    <w:rsid w:val="004F0B9C"/>
    <w:rsid w:val="00503171"/>
    <w:rsid w:val="005079FD"/>
    <w:rsid w:val="005153FE"/>
    <w:rsid w:val="00516046"/>
    <w:rsid w:val="005240A4"/>
    <w:rsid w:val="00531C12"/>
    <w:rsid w:val="00534DA0"/>
    <w:rsid w:val="00540B31"/>
    <w:rsid w:val="00543E6C"/>
    <w:rsid w:val="00544635"/>
    <w:rsid w:val="005648AF"/>
    <w:rsid w:val="00565087"/>
    <w:rsid w:val="0056573F"/>
    <w:rsid w:val="00565BE9"/>
    <w:rsid w:val="00571CE2"/>
    <w:rsid w:val="00581F06"/>
    <w:rsid w:val="005945A5"/>
    <w:rsid w:val="005A2459"/>
    <w:rsid w:val="005A4971"/>
    <w:rsid w:val="005B1232"/>
    <w:rsid w:val="005B2EEF"/>
    <w:rsid w:val="005D4274"/>
    <w:rsid w:val="005F497B"/>
    <w:rsid w:val="00605E3E"/>
    <w:rsid w:val="00606DA9"/>
    <w:rsid w:val="00607EC6"/>
    <w:rsid w:val="00611566"/>
    <w:rsid w:val="00643352"/>
    <w:rsid w:val="00656E1E"/>
    <w:rsid w:val="006604E4"/>
    <w:rsid w:val="00660992"/>
    <w:rsid w:val="006C54B5"/>
    <w:rsid w:val="006D1E24"/>
    <w:rsid w:val="006F7892"/>
    <w:rsid w:val="007031A3"/>
    <w:rsid w:val="0071566E"/>
    <w:rsid w:val="0071636F"/>
    <w:rsid w:val="00730F93"/>
    <w:rsid w:val="00734A5B"/>
    <w:rsid w:val="00740072"/>
    <w:rsid w:val="00741EC5"/>
    <w:rsid w:val="00743525"/>
    <w:rsid w:val="00744E76"/>
    <w:rsid w:val="007476DB"/>
    <w:rsid w:val="00757D40"/>
    <w:rsid w:val="00774846"/>
    <w:rsid w:val="00781F0F"/>
    <w:rsid w:val="0078727C"/>
    <w:rsid w:val="00797D4B"/>
    <w:rsid w:val="007C095F"/>
    <w:rsid w:val="007C3223"/>
    <w:rsid w:val="007D4206"/>
    <w:rsid w:val="007D5902"/>
    <w:rsid w:val="007F0352"/>
    <w:rsid w:val="00802106"/>
    <w:rsid w:val="008028A4"/>
    <w:rsid w:val="00806520"/>
    <w:rsid w:val="00830106"/>
    <w:rsid w:val="00840916"/>
    <w:rsid w:val="00853EDD"/>
    <w:rsid w:val="008604EE"/>
    <w:rsid w:val="0087401D"/>
    <w:rsid w:val="008768CA"/>
    <w:rsid w:val="00880559"/>
    <w:rsid w:val="00894D57"/>
    <w:rsid w:val="008A0543"/>
    <w:rsid w:val="008B760D"/>
    <w:rsid w:val="008C490B"/>
    <w:rsid w:val="008F2467"/>
    <w:rsid w:val="0090271F"/>
    <w:rsid w:val="00903D8C"/>
    <w:rsid w:val="00942EC2"/>
    <w:rsid w:val="00954BCB"/>
    <w:rsid w:val="00961B32"/>
    <w:rsid w:val="00971683"/>
    <w:rsid w:val="00972FD7"/>
    <w:rsid w:val="00974BB0"/>
    <w:rsid w:val="009A6E4F"/>
    <w:rsid w:val="009C4D5C"/>
    <w:rsid w:val="009C738A"/>
    <w:rsid w:val="009D0A28"/>
    <w:rsid w:val="009F3B54"/>
    <w:rsid w:val="009F7E6E"/>
    <w:rsid w:val="00A072CD"/>
    <w:rsid w:val="00A10F02"/>
    <w:rsid w:val="00A218A4"/>
    <w:rsid w:val="00A4366B"/>
    <w:rsid w:val="00A47418"/>
    <w:rsid w:val="00A51060"/>
    <w:rsid w:val="00A53724"/>
    <w:rsid w:val="00A82346"/>
    <w:rsid w:val="00A8361A"/>
    <w:rsid w:val="00A9289D"/>
    <w:rsid w:val="00A930BD"/>
    <w:rsid w:val="00A9671C"/>
    <w:rsid w:val="00AB32A4"/>
    <w:rsid w:val="00AB66DC"/>
    <w:rsid w:val="00AC425E"/>
    <w:rsid w:val="00AC6D61"/>
    <w:rsid w:val="00AD4BCF"/>
    <w:rsid w:val="00AF14D8"/>
    <w:rsid w:val="00AF4A8E"/>
    <w:rsid w:val="00AF78D5"/>
    <w:rsid w:val="00B1063A"/>
    <w:rsid w:val="00B15449"/>
    <w:rsid w:val="00B33FF8"/>
    <w:rsid w:val="00B5476A"/>
    <w:rsid w:val="00B93AD6"/>
    <w:rsid w:val="00B9781E"/>
    <w:rsid w:val="00BB5B73"/>
    <w:rsid w:val="00BB7BF4"/>
    <w:rsid w:val="00BF4CCC"/>
    <w:rsid w:val="00BF79F1"/>
    <w:rsid w:val="00C03035"/>
    <w:rsid w:val="00C25F01"/>
    <w:rsid w:val="00C275BC"/>
    <w:rsid w:val="00C33079"/>
    <w:rsid w:val="00C35255"/>
    <w:rsid w:val="00C365F1"/>
    <w:rsid w:val="00C43B31"/>
    <w:rsid w:val="00C50536"/>
    <w:rsid w:val="00C54543"/>
    <w:rsid w:val="00C55EB7"/>
    <w:rsid w:val="00C65409"/>
    <w:rsid w:val="00CA3D0C"/>
    <w:rsid w:val="00CB6651"/>
    <w:rsid w:val="00CB6887"/>
    <w:rsid w:val="00CC018F"/>
    <w:rsid w:val="00CD4C7B"/>
    <w:rsid w:val="00D22038"/>
    <w:rsid w:val="00D351C3"/>
    <w:rsid w:val="00D45717"/>
    <w:rsid w:val="00D50544"/>
    <w:rsid w:val="00D738D6"/>
    <w:rsid w:val="00D80795"/>
    <w:rsid w:val="00D87E00"/>
    <w:rsid w:val="00D908B4"/>
    <w:rsid w:val="00D9134D"/>
    <w:rsid w:val="00D97CD9"/>
    <w:rsid w:val="00DA7A03"/>
    <w:rsid w:val="00DB1818"/>
    <w:rsid w:val="00DC309B"/>
    <w:rsid w:val="00DC4DA2"/>
    <w:rsid w:val="00DE1406"/>
    <w:rsid w:val="00DF7EA6"/>
    <w:rsid w:val="00E07838"/>
    <w:rsid w:val="00E1521D"/>
    <w:rsid w:val="00E264A5"/>
    <w:rsid w:val="00E340BC"/>
    <w:rsid w:val="00E4379C"/>
    <w:rsid w:val="00E51F8B"/>
    <w:rsid w:val="00E61407"/>
    <w:rsid w:val="00E62835"/>
    <w:rsid w:val="00E677CB"/>
    <w:rsid w:val="00E76E2D"/>
    <w:rsid w:val="00E77645"/>
    <w:rsid w:val="00E852FF"/>
    <w:rsid w:val="00E90ABE"/>
    <w:rsid w:val="00E96BC3"/>
    <w:rsid w:val="00EA22F8"/>
    <w:rsid w:val="00EC338D"/>
    <w:rsid w:val="00EC4A25"/>
    <w:rsid w:val="00ED1EFD"/>
    <w:rsid w:val="00EE0A1E"/>
    <w:rsid w:val="00F025A2"/>
    <w:rsid w:val="00F13D41"/>
    <w:rsid w:val="00F2026E"/>
    <w:rsid w:val="00F2210A"/>
    <w:rsid w:val="00F37743"/>
    <w:rsid w:val="00F54A3D"/>
    <w:rsid w:val="00F653B8"/>
    <w:rsid w:val="00F66A29"/>
    <w:rsid w:val="00F73B48"/>
    <w:rsid w:val="00F76F8F"/>
    <w:rsid w:val="00F9634C"/>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8A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2Char">
    <w:name w:val="Heading 2 Char"/>
    <w:link w:val="Heading2"/>
    <w:rsid w:val="00581F06"/>
    <w:rPr>
      <w:rFonts w:ascii="Arial" w:hAnsi="Arial"/>
      <w:sz w:val="32"/>
      <w:lang w:val="en-GB" w:eastAsia="en-US"/>
    </w:rPr>
  </w:style>
  <w:style w:type="character" w:styleId="CommentReference">
    <w:name w:val="annotation reference"/>
    <w:rsid w:val="007F0352"/>
    <w:rPr>
      <w:sz w:val="16"/>
      <w:szCs w:val="16"/>
    </w:rPr>
  </w:style>
  <w:style w:type="paragraph" w:styleId="CommentText">
    <w:name w:val="annotation text"/>
    <w:basedOn w:val="Normal"/>
    <w:link w:val="CommentTextChar"/>
    <w:rsid w:val="007F0352"/>
  </w:style>
  <w:style w:type="character" w:customStyle="1" w:styleId="CommentTextChar">
    <w:name w:val="Comment Text Char"/>
    <w:link w:val="CommentText"/>
    <w:rsid w:val="007F0352"/>
    <w:rPr>
      <w:lang w:val="en-GB" w:eastAsia="en-US"/>
    </w:rPr>
  </w:style>
  <w:style w:type="paragraph" w:styleId="CommentSubject">
    <w:name w:val="annotation subject"/>
    <w:basedOn w:val="CommentText"/>
    <w:next w:val="CommentText"/>
    <w:link w:val="CommentSubjectChar"/>
    <w:rsid w:val="007F0352"/>
    <w:rPr>
      <w:b/>
      <w:bCs/>
    </w:rPr>
  </w:style>
  <w:style w:type="character" w:customStyle="1" w:styleId="CommentSubjectChar">
    <w:name w:val="Comment Subject Char"/>
    <w:link w:val="CommentSubject"/>
    <w:rsid w:val="007F0352"/>
    <w:rPr>
      <w:b/>
      <w:bCs/>
      <w:lang w:val="en-GB" w:eastAsia="en-US"/>
    </w:rPr>
  </w:style>
  <w:style w:type="paragraph" w:styleId="BalloonText">
    <w:name w:val="Balloon Text"/>
    <w:basedOn w:val="Normal"/>
    <w:link w:val="BalloonTextChar"/>
    <w:semiHidden/>
    <w:unhideWhenUsed/>
    <w:rsid w:val="007F0352"/>
    <w:pPr>
      <w:spacing w:after="0"/>
    </w:pPr>
    <w:rPr>
      <w:rFonts w:ascii="Segoe UI" w:hAnsi="Segoe UI" w:cs="Segoe UI"/>
      <w:sz w:val="18"/>
      <w:szCs w:val="18"/>
    </w:rPr>
  </w:style>
  <w:style w:type="character" w:customStyle="1" w:styleId="BalloonTextChar">
    <w:name w:val="Balloon Text Char"/>
    <w:link w:val="BalloonText"/>
    <w:semiHidden/>
    <w:rsid w:val="007F0352"/>
    <w:rPr>
      <w:rFonts w:ascii="Segoe UI" w:hAnsi="Segoe UI" w:cs="Segoe UI"/>
      <w:sz w:val="18"/>
      <w:szCs w:val="18"/>
      <w:lang w:val="en-GB" w:eastAsia="en-US"/>
    </w:rPr>
  </w:style>
  <w:style w:type="paragraph" w:customStyle="1" w:styleId="Agreement">
    <w:name w:val="Agreement"/>
    <w:basedOn w:val="Normal"/>
    <w:next w:val="Normal"/>
    <w:qFormat/>
    <w:rsid w:val="007F0352"/>
    <w:pPr>
      <w:numPr>
        <w:numId w:val="8"/>
      </w:numPr>
      <w:overflowPunct w:val="0"/>
      <w:autoSpaceDE w:val="0"/>
      <w:autoSpaceDN w:val="0"/>
      <w:adjustRightInd w:val="0"/>
      <w:spacing w:before="60" w:after="0"/>
      <w:textAlignment w:val="baseline"/>
    </w:pPr>
    <w:rPr>
      <w:rFonts w:ascii="Arial" w:hAnsi="Arial"/>
      <w:b/>
      <w:lang w:eastAsia="ja-JP"/>
    </w:rPr>
  </w:style>
  <w:style w:type="paragraph" w:styleId="Revision">
    <w:name w:val="Revision"/>
    <w:hidden/>
    <w:uiPriority w:val="99"/>
    <w:semiHidden/>
    <w:rsid w:val="005F497B"/>
    <w:rPr>
      <w:lang w:val="en-GB" w:eastAsia="en-US"/>
    </w:rPr>
  </w:style>
  <w:style w:type="character" w:customStyle="1" w:styleId="msoins0">
    <w:name w:val="msoins"/>
    <w:basedOn w:val="DefaultParagraphFont"/>
    <w:rsid w:val="000A5A7F"/>
  </w:style>
  <w:style w:type="character" w:customStyle="1" w:styleId="TALChar">
    <w:name w:val="TAL Char"/>
    <w:link w:val="TAL"/>
    <w:qFormat/>
    <w:rsid w:val="00EC338D"/>
    <w:rPr>
      <w:rFonts w:ascii="Arial" w:hAnsi="Arial"/>
      <w:sz w:val="18"/>
      <w:lang w:val="en-GB" w:eastAsia="en-US"/>
    </w:rPr>
  </w:style>
  <w:style w:type="character" w:customStyle="1" w:styleId="TAHChar">
    <w:name w:val="TAH Char"/>
    <w:link w:val="TAH"/>
    <w:qFormat/>
    <w:rsid w:val="00EC338D"/>
    <w:rPr>
      <w:rFonts w:ascii="Arial" w:hAnsi="Arial"/>
      <w:b/>
      <w:sz w:val="18"/>
      <w:lang w:val="en-GB" w:eastAsia="en-US"/>
    </w:rPr>
  </w:style>
  <w:style w:type="paragraph" w:customStyle="1" w:styleId="ListParagraph2">
    <w:name w:val="List Paragraph2"/>
    <w:basedOn w:val="Normal"/>
    <w:rsid w:val="00F73B48"/>
    <w:pPr>
      <w:spacing w:before="100" w:beforeAutospacing="1"/>
      <w:ind w:left="720"/>
      <w:contextualSpacing/>
    </w:pPr>
    <w:rPr>
      <w:rFonts w:eastAsia="SimSun"/>
      <w:sz w:val="24"/>
      <w:szCs w:val="24"/>
      <w:lang w:val="en-US" w:eastAsia="zh-CN"/>
    </w:rPr>
  </w:style>
  <w:style w:type="character" w:customStyle="1" w:styleId="Heading1Char">
    <w:name w:val="Heading 1 Char"/>
    <w:link w:val="Heading1"/>
    <w:rsid w:val="0066099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250271">
      <w:bodyDiv w:val="1"/>
      <w:marLeft w:val="0"/>
      <w:marRight w:val="0"/>
      <w:marTop w:val="0"/>
      <w:marBottom w:val="0"/>
      <w:divBdr>
        <w:top w:val="none" w:sz="0" w:space="0" w:color="auto"/>
        <w:left w:val="none" w:sz="0" w:space="0" w:color="auto"/>
        <w:bottom w:val="none" w:sz="0" w:space="0" w:color="auto"/>
        <w:right w:val="none" w:sz="0" w:space="0" w:color="auto"/>
      </w:divBdr>
    </w:div>
    <w:div w:id="527764577">
      <w:bodyDiv w:val="1"/>
      <w:marLeft w:val="0"/>
      <w:marRight w:val="0"/>
      <w:marTop w:val="0"/>
      <w:marBottom w:val="0"/>
      <w:divBdr>
        <w:top w:val="none" w:sz="0" w:space="0" w:color="auto"/>
        <w:left w:val="none" w:sz="0" w:space="0" w:color="auto"/>
        <w:bottom w:val="none" w:sz="0" w:space="0" w:color="auto"/>
        <w:right w:val="none" w:sz="0" w:space="0" w:color="auto"/>
      </w:divBdr>
    </w:div>
    <w:div w:id="539053014">
      <w:bodyDiv w:val="1"/>
      <w:marLeft w:val="0"/>
      <w:marRight w:val="0"/>
      <w:marTop w:val="0"/>
      <w:marBottom w:val="0"/>
      <w:divBdr>
        <w:top w:val="none" w:sz="0" w:space="0" w:color="auto"/>
        <w:left w:val="none" w:sz="0" w:space="0" w:color="auto"/>
        <w:bottom w:val="none" w:sz="0" w:space="0" w:color="auto"/>
        <w:right w:val="none" w:sz="0" w:space="0" w:color="auto"/>
      </w:divBdr>
    </w:div>
    <w:div w:id="845170974">
      <w:bodyDiv w:val="1"/>
      <w:marLeft w:val="0"/>
      <w:marRight w:val="0"/>
      <w:marTop w:val="0"/>
      <w:marBottom w:val="0"/>
      <w:divBdr>
        <w:top w:val="none" w:sz="0" w:space="0" w:color="auto"/>
        <w:left w:val="none" w:sz="0" w:space="0" w:color="auto"/>
        <w:bottom w:val="none" w:sz="0" w:space="0" w:color="auto"/>
        <w:right w:val="none" w:sz="0" w:space="0" w:color="auto"/>
      </w:divBdr>
    </w:div>
    <w:div w:id="1311716184">
      <w:bodyDiv w:val="1"/>
      <w:marLeft w:val="0"/>
      <w:marRight w:val="0"/>
      <w:marTop w:val="0"/>
      <w:marBottom w:val="0"/>
      <w:divBdr>
        <w:top w:val="none" w:sz="0" w:space="0" w:color="auto"/>
        <w:left w:val="none" w:sz="0" w:space="0" w:color="auto"/>
        <w:bottom w:val="none" w:sz="0" w:space="0" w:color="auto"/>
        <w:right w:val="none" w:sz="0" w:space="0" w:color="auto"/>
      </w:divBdr>
      <w:divsChild>
        <w:div w:id="1014109538">
          <w:marLeft w:val="720"/>
          <w:marRight w:val="0"/>
          <w:marTop w:val="0"/>
          <w:marBottom w:val="120"/>
          <w:divBdr>
            <w:top w:val="none" w:sz="0" w:space="0" w:color="auto"/>
            <w:left w:val="none" w:sz="0" w:space="0" w:color="auto"/>
            <w:bottom w:val="none" w:sz="0" w:space="0" w:color="auto"/>
            <w:right w:val="none" w:sz="0" w:space="0" w:color="auto"/>
          </w:divBdr>
        </w:div>
      </w:divsChild>
    </w:div>
    <w:div w:id="1383797291">
      <w:bodyDiv w:val="1"/>
      <w:marLeft w:val="0"/>
      <w:marRight w:val="0"/>
      <w:marTop w:val="0"/>
      <w:marBottom w:val="0"/>
      <w:divBdr>
        <w:top w:val="none" w:sz="0" w:space="0" w:color="auto"/>
        <w:left w:val="none" w:sz="0" w:space="0" w:color="auto"/>
        <w:bottom w:val="none" w:sz="0" w:space="0" w:color="auto"/>
        <w:right w:val="none" w:sz="0" w:space="0" w:color="auto"/>
      </w:divBdr>
    </w:div>
    <w:div w:id="1412659800">
      <w:bodyDiv w:val="1"/>
      <w:marLeft w:val="0"/>
      <w:marRight w:val="0"/>
      <w:marTop w:val="0"/>
      <w:marBottom w:val="0"/>
      <w:divBdr>
        <w:top w:val="none" w:sz="0" w:space="0" w:color="auto"/>
        <w:left w:val="none" w:sz="0" w:space="0" w:color="auto"/>
        <w:bottom w:val="none" w:sz="0" w:space="0" w:color="auto"/>
        <w:right w:val="none" w:sz="0" w:space="0" w:color="auto"/>
      </w:divBdr>
      <w:divsChild>
        <w:div w:id="420764876">
          <w:marLeft w:val="1325"/>
          <w:marRight w:val="0"/>
          <w:marTop w:val="0"/>
          <w:marBottom w:val="74"/>
          <w:divBdr>
            <w:top w:val="none" w:sz="0" w:space="0" w:color="auto"/>
            <w:left w:val="none" w:sz="0" w:space="0" w:color="auto"/>
            <w:bottom w:val="none" w:sz="0" w:space="0" w:color="auto"/>
            <w:right w:val="none" w:sz="0" w:space="0" w:color="auto"/>
          </w:divBdr>
        </w:div>
        <w:div w:id="1081441564">
          <w:marLeft w:val="1325"/>
          <w:marRight w:val="0"/>
          <w:marTop w:val="0"/>
          <w:marBottom w:val="74"/>
          <w:divBdr>
            <w:top w:val="none" w:sz="0" w:space="0" w:color="auto"/>
            <w:left w:val="none" w:sz="0" w:space="0" w:color="auto"/>
            <w:bottom w:val="none" w:sz="0" w:space="0" w:color="auto"/>
            <w:right w:val="none" w:sz="0" w:space="0" w:color="auto"/>
          </w:divBdr>
        </w:div>
      </w:divsChild>
    </w:div>
    <w:div w:id="1543129590">
      <w:bodyDiv w:val="1"/>
      <w:marLeft w:val="0"/>
      <w:marRight w:val="0"/>
      <w:marTop w:val="0"/>
      <w:marBottom w:val="0"/>
      <w:divBdr>
        <w:top w:val="none" w:sz="0" w:space="0" w:color="auto"/>
        <w:left w:val="none" w:sz="0" w:space="0" w:color="auto"/>
        <w:bottom w:val="none" w:sz="0" w:space="0" w:color="auto"/>
        <w:right w:val="none" w:sz="0" w:space="0" w:color="auto"/>
      </w:divBdr>
    </w:div>
    <w:div w:id="1611231613">
      <w:bodyDiv w:val="1"/>
      <w:marLeft w:val="0"/>
      <w:marRight w:val="0"/>
      <w:marTop w:val="0"/>
      <w:marBottom w:val="0"/>
      <w:divBdr>
        <w:top w:val="none" w:sz="0" w:space="0" w:color="auto"/>
        <w:left w:val="none" w:sz="0" w:space="0" w:color="auto"/>
        <w:bottom w:val="none" w:sz="0" w:space="0" w:color="auto"/>
        <w:right w:val="none" w:sz="0" w:space="0" w:color="auto"/>
      </w:divBdr>
    </w:div>
    <w:div w:id="1681738737">
      <w:bodyDiv w:val="1"/>
      <w:marLeft w:val="0"/>
      <w:marRight w:val="0"/>
      <w:marTop w:val="0"/>
      <w:marBottom w:val="0"/>
      <w:divBdr>
        <w:top w:val="none" w:sz="0" w:space="0" w:color="auto"/>
        <w:left w:val="none" w:sz="0" w:space="0" w:color="auto"/>
        <w:bottom w:val="none" w:sz="0" w:space="0" w:color="auto"/>
        <w:right w:val="none" w:sz="0" w:space="0" w:color="auto"/>
      </w:divBdr>
      <w:divsChild>
        <w:div w:id="2140607713">
          <w:marLeft w:val="720"/>
          <w:marRight w:val="0"/>
          <w:marTop w:val="0"/>
          <w:marBottom w:val="120"/>
          <w:divBdr>
            <w:top w:val="none" w:sz="0" w:space="0" w:color="auto"/>
            <w:left w:val="none" w:sz="0" w:space="0" w:color="auto"/>
            <w:bottom w:val="none" w:sz="0" w:space="0" w:color="auto"/>
            <w:right w:val="none" w:sz="0" w:space="0" w:color="auto"/>
          </w:divBdr>
        </w:div>
        <w:div w:id="498620668">
          <w:marLeft w:val="720"/>
          <w:marRight w:val="0"/>
          <w:marTop w:val="0"/>
          <w:marBottom w:val="120"/>
          <w:divBdr>
            <w:top w:val="none" w:sz="0" w:space="0" w:color="auto"/>
            <w:left w:val="none" w:sz="0" w:space="0" w:color="auto"/>
            <w:bottom w:val="none" w:sz="0" w:space="0" w:color="auto"/>
            <w:right w:val="none" w:sz="0" w:space="0" w:color="auto"/>
          </w:divBdr>
        </w:div>
        <w:div w:id="2072849180">
          <w:marLeft w:val="720"/>
          <w:marRight w:val="0"/>
          <w:marTop w:val="0"/>
          <w:marBottom w:val="120"/>
          <w:divBdr>
            <w:top w:val="none" w:sz="0" w:space="0" w:color="auto"/>
            <w:left w:val="none" w:sz="0" w:space="0" w:color="auto"/>
            <w:bottom w:val="none" w:sz="0" w:space="0" w:color="auto"/>
            <w:right w:val="none" w:sz="0" w:space="0" w:color="auto"/>
          </w:divBdr>
        </w:div>
        <w:div w:id="791939980">
          <w:marLeft w:val="720"/>
          <w:marRight w:val="0"/>
          <w:marTop w:val="0"/>
          <w:marBottom w:val="120"/>
          <w:divBdr>
            <w:top w:val="none" w:sz="0" w:space="0" w:color="auto"/>
            <w:left w:val="none" w:sz="0" w:space="0" w:color="auto"/>
            <w:bottom w:val="none" w:sz="0" w:space="0" w:color="auto"/>
            <w:right w:val="none" w:sz="0" w:space="0" w:color="auto"/>
          </w:divBdr>
        </w:div>
        <w:div w:id="1004017228">
          <w:marLeft w:val="994"/>
          <w:marRight w:val="0"/>
          <w:marTop w:val="0"/>
          <w:marBottom w:val="120"/>
          <w:divBdr>
            <w:top w:val="none" w:sz="0" w:space="0" w:color="auto"/>
            <w:left w:val="none" w:sz="0" w:space="0" w:color="auto"/>
            <w:bottom w:val="none" w:sz="0" w:space="0" w:color="auto"/>
            <w:right w:val="none" w:sz="0" w:space="0" w:color="auto"/>
          </w:divBdr>
        </w:div>
        <w:div w:id="2116973236">
          <w:marLeft w:val="720"/>
          <w:marRight w:val="0"/>
          <w:marTop w:val="0"/>
          <w:marBottom w:val="120"/>
          <w:divBdr>
            <w:top w:val="none" w:sz="0" w:space="0" w:color="auto"/>
            <w:left w:val="none" w:sz="0" w:space="0" w:color="auto"/>
            <w:bottom w:val="none" w:sz="0" w:space="0" w:color="auto"/>
            <w:right w:val="none" w:sz="0" w:space="0" w:color="auto"/>
          </w:divBdr>
        </w:div>
        <w:div w:id="1256328252">
          <w:marLeft w:val="720"/>
          <w:marRight w:val="0"/>
          <w:marTop w:val="0"/>
          <w:marBottom w:val="120"/>
          <w:divBdr>
            <w:top w:val="none" w:sz="0" w:space="0" w:color="auto"/>
            <w:left w:val="none" w:sz="0" w:space="0" w:color="auto"/>
            <w:bottom w:val="none" w:sz="0" w:space="0" w:color="auto"/>
            <w:right w:val="none" w:sz="0" w:space="0" w:color="auto"/>
          </w:divBdr>
        </w:div>
      </w:divsChild>
    </w:div>
    <w:div w:id="1846169625">
      <w:bodyDiv w:val="1"/>
      <w:marLeft w:val="0"/>
      <w:marRight w:val="0"/>
      <w:marTop w:val="0"/>
      <w:marBottom w:val="0"/>
      <w:divBdr>
        <w:top w:val="none" w:sz="0" w:space="0" w:color="auto"/>
        <w:left w:val="none" w:sz="0" w:space="0" w:color="auto"/>
        <w:bottom w:val="none" w:sz="0" w:space="0" w:color="auto"/>
        <w:right w:val="none" w:sz="0" w:space="0" w:color="auto"/>
      </w:divBdr>
    </w:div>
    <w:div w:id="2007440587">
      <w:bodyDiv w:val="1"/>
      <w:marLeft w:val="0"/>
      <w:marRight w:val="0"/>
      <w:marTop w:val="0"/>
      <w:marBottom w:val="0"/>
      <w:divBdr>
        <w:top w:val="none" w:sz="0" w:space="0" w:color="auto"/>
        <w:left w:val="none" w:sz="0" w:space="0" w:color="auto"/>
        <w:bottom w:val="none" w:sz="0" w:space="0" w:color="auto"/>
        <w:right w:val="none" w:sz="0" w:space="0" w:color="auto"/>
      </w:divBdr>
      <w:divsChild>
        <w:div w:id="515927871">
          <w:marLeft w:val="1325"/>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5AIRPNAIUNRU-490051479-3929</_dlc_DocId>
    <_dlc_DocIdUrl xmlns="71c5aaf6-e6ce-465b-b873-5148d2a4c105">
      <Url>https://nokia.sharepoint.com/sites/c5g/projects/FAAS/_layouts/15/DocIdRedir.aspx?ID=5AIRPNAIUNRU-490051479-3929</Url>
      <Description>5AIRPNAIUNRU-490051479-3929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958EFF-C969-4C43-857B-7D66162AF568}">
  <ds:schemaRefs>
    <ds:schemaRef ds:uri="http://schemas.microsoft.com/office/2006/documentManagement/types"/>
    <ds:schemaRef ds:uri="3b34c8f0-1ef5-4d1e-bb66-517ce7fe7356"/>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bd98b143-97af-43fb-a8de-63b93b944041"/>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2E025182-CAAD-4758-9F93-1F535427F8D9}">
  <ds:schemaRefs>
    <ds:schemaRef ds:uri="http://schemas.microsoft.com/sharepoint/v3/contenttype/forms"/>
  </ds:schemaRefs>
</ds:datastoreItem>
</file>

<file path=customXml/itemProps3.xml><?xml version="1.0" encoding="utf-8"?>
<ds:datastoreItem xmlns:ds="http://schemas.openxmlformats.org/officeDocument/2006/customXml" ds:itemID="{FB86B44B-84DC-47D5-9EF5-4DFF76995B19}">
  <ds:schemaRefs>
    <ds:schemaRef ds:uri="http://schemas.microsoft.com/sharepoint/events"/>
  </ds:schemaRefs>
</ds:datastoreItem>
</file>

<file path=customXml/itemProps4.xml><?xml version="1.0" encoding="utf-8"?>
<ds:datastoreItem xmlns:ds="http://schemas.openxmlformats.org/officeDocument/2006/customXml" ds:itemID="{C75239A3-95AA-4CBB-AA09-A74AF7CF4552}">
  <ds:schemaRefs>
    <ds:schemaRef ds:uri="Microsoft.SharePoint.Taxonomy.ContentTypeSync"/>
  </ds:schemaRefs>
</ds:datastoreItem>
</file>

<file path=customXml/itemProps5.xml><?xml version="1.0" encoding="utf-8"?>
<ds:datastoreItem xmlns:ds="http://schemas.openxmlformats.org/officeDocument/2006/customXml" ds:itemID="{90EB8A65-DC27-4F19-ACEA-5800944EF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1643</TotalTime>
  <Pages>3</Pages>
  <Words>790</Words>
  <Characters>4349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52</cp:revision>
  <dcterms:created xsi:type="dcterms:W3CDTF">2019-06-29T13:33:00Z</dcterms:created>
  <dcterms:modified xsi:type="dcterms:W3CDTF">2022-01-05T19:23:00Z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9c7e1ce9-3cbc-41a6-a5a9-408b9f80a93c</vt:lpwstr>
  </property>
</Properties>
</file>